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132F54">
        <w:rPr>
          <w:rFonts w:ascii="Courier New" w:hAnsi="Courier New" w:cs="Courier New"/>
          <w:b/>
          <w:sz w:val="20"/>
          <w:szCs w:val="20"/>
        </w:rPr>
        <w:t>Schachtabdeckung (</w:t>
      </w:r>
      <w:r w:rsidR="00AE081B">
        <w:rPr>
          <w:rFonts w:ascii="Courier New" w:hAnsi="Courier New" w:cs="Courier New"/>
          <w:b/>
          <w:sz w:val="20"/>
          <w:szCs w:val="20"/>
        </w:rPr>
        <w:t>V</w:t>
      </w:r>
      <w:r w:rsidR="001B0FF7">
        <w:rPr>
          <w:rFonts w:ascii="Courier New" w:hAnsi="Courier New" w:cs="Courier New"/>
          <w:b/>
          <w:sz w:val="20"/>
          <w:szCs w:val="20"/>
        </w:rPr>
        <w:t xml:space="preserve">erfahrbar, </w:t>
      </w:r>
      <w:r w:rsidR="00132F54">
        <w:rPr>
          <w:rFonts w:ascii="Courier New" w:hAnsi="Courier New" w:cs="Courier New"/>
          <w:b/>
          <w:sz w:val="20"/>
          <w:szCs w:val="20"/>
        </w:rPr>
        <w:t>Regensicher)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AE081B">
        <w:rPr>
          <w:rFonts w:ascii="Courier New" w:hAnsi="Courier New" w:cs="Courier New"/>
          <w:b/>
          <w:sz w:val="20"/>
          <w:szCs w:val="20"/>
        </w:rPr>
        <w:t>9</w:t>
      </w:r>
      <w:r w:rsidR="004E5A74">
        <w:rPr>
          <w:rFonts w:ascii="Courier New" w:hAnsi="Courier New" w:cs="Courier New"/>
          <w:b/>
          <w:sz w:val="20"/>
          <w:szCs w:val="20"/>
        </w:rPr>
        <w:t>0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873FE1" w:rsidTr="00873FE1">
        <w:trPr>
          <w:trHeight w:val="284"/>
        </w:trPr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C30BA3" w:rsidRPr="00873FE1" w:rsidRDefault="00C30BA3" w:rsidP="00873F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3FE1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30BA3" w:rsidRPr="00873FE1" w:rsidRDefault="00C30BA3" w:rsidP="00873F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3FE1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873FE1" w:rsidRDefault="00C30BA3" w:rsidP="00873F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3FE1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873FE1" w:rsidRDefault="00C30BA3" w:rsidP="00873F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3FE1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873FE1" w:rsidRDefault="00C30BA3" w:rsidP="00873F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3FE1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BC515A" w:rsidRPr="00873FE1" w:rsidTr="00873FE1">
        <w:trPr>
          <w:trHeight w:val="12042"/>
        </w:trPr>
        <w:tc>
          <w:tcPr>
            <w:tcW w:w="590" w:type="dxa"/>
            <w:tcBorders>
              <w:left w:val="nil"/>
            </w:tcBorders>
            <w:shd w:val="clear" w:color="auto" w:fill="auto"/>
          </w:tcPr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8" w:type="dxa"/>
            <w:shd w:val="clear" w:color="auto" w:fill="auto"/>
          </w:tcPr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132F54" w:rsidP="00873FE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b/>
                <w:sz w:val="18"/>
                <w:szCs w:val="18"/>
              </w:rPr>
              <w:t>Schachtabdeckung</w:t>
            </w: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05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 xml:space="preserve">verfahrbare, 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regensichere, Abdeckung </w:t>
            </w:r>
            <w:r w:rsidR="00964905" w:rsidRPr="00873FE1">
              <w:rPr>
                <w:rFonts w:ascii="Courier New" w:hAnsi="Courier New" w:cs="Courier New"/>
                <w:sz w:val="18"/>
                <w:szCs w:val="18"/>
              </w:rPr>
              <w:t xml:space="preserve">für den Einbau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an Treppenzugängen, Montageöffnungen u.ä.,</w:t>
            </w:r>
            <w:r w:rsidR="00964905" w:rsidRPr="00873FE1">
              <w:rPr>
                <w:rFonts w:ascii="Courier New" w:hAnsi="Courier New" w:cs="Courier New"/>
                <w:sz w:val="18"/>
                <w:szCs w:val="18"/>
              </w:rPr>
              <w:t xml:space="preserve"> mit erhöhtem Korrosionsschutz und Funktionalität durch Modulbauweise mittels sicher verschraubten Einzelkomponenten wie nachfolgend beschrieben unter Schutzgas geschweißt und im Vollbad gebeizt und pa</w:t>
            </w:r>
            <w:r w:rsidR="00964905" w:rsidRPr="00873FE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964905" w:rsidRPr="00873FE1">
              <w:rPr>
                <w:rFonts w:ascii="Courier New" w:hAnsi="Courier New" w:cs="Courier New"/>
                <w:sz w:val="18"/>
                <w:szCs w:val="18"/>
              </w:rPr>
              <w:t>siviert.</w:t>
            </w: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1239.</w:t>
            </w: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b/>
                <w:sz w:val="18"/>
                <w:szCs w:val="18"/>
              </w:rPr>
              <w:t>Rahmen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 xml:space="preserve">als Laufschienen 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aus stabilem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Sonderprofil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 (3,0mm) zum Andübeln inkl. Befestigungs- und Dic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tungsmaterial. </w:t>
            </w:r>
          </w:p>
          <w:p w:rsidR="001B0FF7" w:rsidRPr="00873FE1" w:rsidRDefault="00BB3C18" w:rsidP="00873F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b/>
                <w:sz w:val="18"/>
                <w:szCs w:val="18"/>
              </w:rPr>
              <w:t>Deckel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 aus mittig überhöhtem </w:t>
            </w:r>
            <w:r w:rsidR="0047007F" w:rsidRPr="00873FE1">
              <w:rPr>
                <w:rFonts w:ascii="Courier New" w:hAnsi="Courier New" w:cs="Courier New"/>
                <w:sz w:val="18"/>
                <w:szCs w:val="18"/>
              </w:rPr>
              <w:t>Edelstahlb</w:t>
            </w: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lech (2,0mm)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mit quer angebrachten Verstärkungsprofilen, durch überkragendes Blech gegen Abheben gesichert, gel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gert auf leicht laufenden Polymaidrollen, nur von einer Person zu öffnen und zu schliessen, mit selbsteinrastenden Verschluss, Verschlussabdeckung mittels verschraubbarer Bronzekappe, 100% auffah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bar.</w:t>
            </w: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873FE1" w:rsidRDefault="00BB3C18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BC515A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Typ:           SA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Schachtmaß:    …………………mm x …………………mm (Lichte)</w:t>
            </w:r>
          </w:p>
          <w:p w:rsidR="00BB3C18" w:rsidRPr="00873FE1" w:rsidRDefault="00BB3C18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Ausführung:    Standard</w:t>
            </w:r>
          </w:p>
          <w:p w:rsidR="00BB3C18" w:rsidRPr="00873FE1" w:rsidRDefault="00BB3C18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Isolierung (FCKW-frei)</w:t>
            </w:r>
            <w:r w:rsidR="0047007F"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mit</w:t>
            </w:r>
          </w:p>
          <w:p w:rsidR="0047007F" w:rsidRPr="00873FE1" w:rsidRDefault="0047007F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unterseitigem Edelstahlblech</w:t>
            </w:r>
          </w:p>
          <w:p w:rsidR="00CF33FB" w:rsidRPr="00873FE1" w:rsidRDefault="001B0FF7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Laufschienen</w:t>
            </w:r>
            <w:r w:rsidR="00CF33FB" w:rsidRPr="00873FE1">
              <w:rPr>
                <w:rFonts w:ascii="Courier New" w:hAnsi="Courier New" w:cs="Courier New"/>
                <w:sz w:val="18"/>
                <w:szCs w:val="18"/>
              </w:rPr>
              <w:t xml:space="preserve">:  zum Andübeln </w:t>
            </w:r>
            <w:r w:rsidR="00CF33FB"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zum Einbeton.)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Zubehör:       </w:t>
            </w:r>
            <w:r w:rsidR="001B0FF7" w:rsidRPr="00873FE1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mit Messingeinsatz für Steck</w:t>
            </w:r>
            <w:r w:rsidR="0047007F"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schloss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Steckschloss/Zylinderschlüssel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Notöffnungshebel (von innen)</w:t>
            </w:r>
          </w:p>
          <w:p w:rsidR="00CF33FB" w:rsidRPr="00873FE1" w:rsidRDefault="00CF33FB" w:rsidP="00873FE1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Alarmkontakt</w:t>
            </w: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873FE1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Default="00BC515A" w:rsidP="00124B9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 xml:space="preserve">Hersteller:  </w:t>
            </w:r>
            <w:r w:rsidR="0091002C" w:rsidRPr="00873FE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124B98" w:rsidRDefault="00124B98" w:rsidP="00124B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124B98" w:rsidRDefault="00124B98" w:rsidP="00124B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124B98" w:rsidRDefault="00124B98" w:rsidP="00124B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124B98" w:rsidRDefault="00124B98" w:rsidP="00124B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124B98" w:rsidRDefault="00124B98" w:rsidP="00124B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124B98" w:rsidRPr="00873FE1" w:rsidRDefault="00124B98" w:rsidP="00124B9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C515A" w:rsidRPr="00873FE1" w:rsidRDefault="00BC515A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Dübelsystemen in A4-Qualität komplett betriebsfertig montieren.</w:t>
            </w:r>
          </w:p>
        </w:tc>
        <w:tc>
          <w:tcPr>
            <w:tcW w:w="649" w:type="dxa"/>
            <w:shd w:val="clear" w:color="auto" w:fill="auto"/>
          </w:tcPr>
          <w:p w:rsidR="00BC515A" w:rsidRPr="00873FE1" w:rsidRDefault="00BC515A" w:rsidP="00873F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BC515A" w:rsidP="00873F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C515A" w:rsidRPr="00873FE1" w:rsidRDefault="00BC515A" w:rsidP="00873F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873FE1" w:rsidRDefault="00BC515A" w:rsidP="00873F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73FE1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shd w:val="clear" w:color="auto" w:fill="auto"/>
          </w:tcPr>
          <w:p w:rsidR="00BC515A" w:rsidRPr="00873FE1" w:rsidRDefault="00295DDC" w:rsidP="00873FE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95DD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left:0;text-align:left;margin-left:9.6pt;margin-top:12.75pt;width:85.2pt;height:425.95pt;z-index:251657728;mso-position-horizontal-relative:text;mso-position-vertical-relative:text">
                  <v:imagedata r:id="rId7" o:title="" croptop="4443f" cropleft="7991f" cropright="51537f"/>
                </v:shape>
                <o:OLEObject Type="Embed" ProgID="AutoCAD.Drawing.16" ShapeID="_x0000_s1057" DrawAspect="Content" ObjectID="_1401599797" r:id="rId8"/>
              </w:pict>
            </w:r>
          </w:p>
        </w:tc>
      </w:tr>
    </w:tbl>
    <w:p w:rsidR="0040056B" w:rsidRPr="003479F8" w:rsidRDefault="0040056B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40056B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7A" w:rsidRDefault="00C9127A">
      <w:r>
        <w:separator/>
      </w:r>
    </w:p>
  </w:endnote>
  <w:endnote w:type="continuationSeparator" w:id="1">
    <w:p w:rsidR="00C9127A" w:rsidRDefault="00C9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2" w:rsidRDefault="000903E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B25F42" w:rsidRPr="00A225A4" w:rsidTr="00873FE1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B25F42" w:rsidRDefault="00B25F42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B25F42" w:rsidRDefault="00B25F42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B25F42" w:rsidRDefault="00B25F42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B25F42" w:rsidRPr="00A225A4" w:rsidRDefault="00B25F42" w:rsidP="00873FE1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64686F" w:rsidRPr="00A225A4" w:rsidTr="00873FE1">
      <w:trPr>
        <w:trHeight w:val="176"/>
      </w:trPr>
      <w:tc>
        <w:tcPr>
          <w:tcW w:w="2184" w:type="dxa"/>
          <w:shd w:val="clear" w:color="auto" w:fill="auto"/>
        </w:tcPr>
        <w:p w:rsidR="0064686F" w:rsidRPr="00A225A4" w:rsidRDefault="0064686F" w:rsidP="00873FE1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64686F" w:rsidRPr="00A225A4" w:rsidRDefault="0064686F" w:rsidP="00873FE1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64686F" w:rsidRPr="00A225A4" w:rsidRDefault="0064686F" w:rsidP="00873FE1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64686F" w:rsidRDefault="0064686F" w:rsidP="0064686F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2" w:rsidRDefault="000903E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7A" w:rsidRDefault="00C9127A">
      <w:r>
        <w:separator/>
      </w:r>
    </w:p>
  </w:footnote>
  <w:footnote w:type="continuationSeparator" w:id="1">
    <w:p w:rsidR="00C9127A" w:rsidRDefault="00C9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2" w:rsidRDefault="000903E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295DDC">
    <w:pPr>
      <w:pStyle w:val="Kopfzeile"/>
    </w:pPr>
    <w:r w:rsidRPr="00295DDC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295DDC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295DDC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295DDC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2" w:rsidRDefault="000903E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17EB9"/>
    <w:rsid w:val="00026D4E"/>
    <w:rsid w:val="00033CD9"/>
    <w:rsid w:val="00037E8F"/>
    <w:rsid w:val="00041DA4"/>
    <w:rsid w:val="000445AB"/>
    <w:rsid w:val="0006599C"/>
    <w:rsid w:val="000903E2"/>
    <w:rsid w:val="000A74C0"/>
    <w:rsid w:val="000F7CFA"/>
    <w:rsid w:val="00113172"/>
    <w:rsid w:val="00124B98"/>
    <w:rsid w:val="00132F54"/>
    <w:rsid w:val="00151899"/>
    <w:rsid w:val="00167AFC"/>
    <w:rsid w:val="00180509"/>
    <w:rsid w:val="001B0FF7"/>
    <w:rsid w:val="001D6E1E"/>
    <w:rsid w:val="0020092A"/>
    <w:rsid w:val="0020132C"/>
    <w:rsid w:val="002441AF"/>
    <w:rsid w:val="00246C33"/>
    <w:rsid w:val="00257BA6"/>
    <w:rsid w:val="002610E2"/>
    <w:rsid w:val="00295DDC"/>
    <w:rsid w:val="002D03C9"/>
    <w:rsid w:val="003024BF"/>
    <w:rsid w:val="003038F0"/>
    <w:rsid w:val="00303A5C"/>
    <w:rsid w:val="00313B84"/>
    <w:rsid w:val="00314C7A"/>
    <w:rsid w:val="003372E2"/>
    <w:rsid w:val="003479F8"/>
    <w:rsid w:val="00352435"/>
    <w:rsid w:val="0037320E"/>
    <w:rsid w:val="003814BF"/>
    <w:rsid w:val="00390876"/>
    <w:rsid w:val="003A05BA"/>
    <w:rsid w:val="003B41C9"/>
    <w:rsid w:val="003C5093"/>
    <w:rsid w:val="003C73D3"/>
    <w:rsid w:val="003E5FDE"/>
    <w:rsid w:val="0040056B"/>
    <w:rsid w:val="00415C88"/>
    <w:rsid w:val="00432585"/>
    <w:rsid w:val="0043363C"/>
    <w:rsid w:val="004450A6"/>
    <w:rsid w:val="0045311A"/>
    <w:rsid w:val="0047007F"/>
    <w:rsid w:val="004A26B7"/>
    <w:rsid w:val="004B4D74"/>
    <w:rsid w:val="004D4972"/>
    <w:rsid w:val="004E5A74"/>
    <w:rsid w:val="004F6238"/>
    <w:rsid w:val="00503386"/>
    <w:rsid w:val="0053196D"/>
    <w:rsid w:val="00534A67"/>
    <w:rsid w:val="0053712A"/>
    <w:rsid w:val="00537A74"/>
    <w:rsid w:val="00557B33"/>
    <w:rsid w:val="005605AF"/>
    <w:rsid w:val="00583D2D"/>
    <w:rsid w:val="00587B00"/>
    <w:rsid w:val="00591CC3"/>
    <w:rsid w:val="005A43E2"/>
    <w:rsid w:val="005D1A8A"/>
    <w:rsid w:val="005D61E5"/>
    <w:rsid w:val="005E7484"/>
    <w:rsid w:val="005F2C59"/>
    <w:rsid w:val="00611DA1"/>
    <w:rsid w:val="00631615"/>
    <w:rsid w:val="00645633"/>
    <w:rsid w:val="0064686F"/>
    <w:rsid w:val="00674D18"/>
    <w:rsid w:val="0067531F"/>
    <w:rsid w:val="006779E6"/>
    <w:rsid w:val="006A7B50"/>
    <w:rsid w:val="006C338F"/>
    <w:rsid w:val="006D33D8"/>
    <w:rsid w:val="006D69FD"/>
    <w:rsid w:val="00707259"/>
    <w:rsid w:val="00724BF0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942F1"/>
    <w:rsid w:val="008228D1"/>
    <w:rsid w:val="008265BB"/>
    <w:rsid w:val="008314BA"/>
    <w:rsid w:val="00835A07"/>
    <w:rsid w:val="008436BB"/>
    <w:rsid w:val="00855E5C"/>
    <w:rsid w:val="00865686"/>
    <w:rsid w:val="00873FE1"/>
    <w:rsid w:val="0087671E"/>
    <w:rsid w:val="008E4121"/>
    <w:rsid w:val="008E7BE5"/>
    <w:rsid w:val="008F478F"/>
    <w:rsid w:val="00902CE7"/>
    <w:rsid w:val="0091002C"/>
    <w:rsid w:val="0094637F"/>
    <w:rsid w:val="00964905"/>
    <w:rsid w:val="00981275"/>
    <w:rsid w:val="00982BCC"/>
    <w:rsid w:val="00984FFB"/>
    <w:rsid w:val="00993704"/>
    <w:rsid w:val="009B0E0B"/>
    <w:rsid w:val="009E0273"/>
    <w:rsid w:val="009F028E"/>
    <w:rsid w:val="00A417C1"/>
    <w:rsid w:val="00A547CB"/>
    <w:rsid w:val="00A56365"/>
    <w:rsid w:val="00A65A33"/>
    <w:rsid w:val="00A761B6"/>
    <w:rsid w:val="00A861B4"/>
    <w:rsid w:val="00A91ECF"/>
    <w:rsid w:val="00AE081B"/>
    <w:rsid w:val="00B23FBA"/>
    <w:rsid w:val="00B25F42"/>
    <w:rsid w:val="00B26403"/>
    <w:rsid w:val="00B26706"/>
    <w:rsid w:val="00B8137B"/>
    <w:rsid w:val="00B969A7"/>
    <w:rsid w:val="00BB3C18"/>
    <w:rsid w:val="00BC515A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6618B"/>
    <w:rsid w:val="00C773BA"/>
    <w:rsid w:val="00C82811"/>
    <w:rsid w:val="00C9127A"/>
    <w:rsid w:val="00C92212"/>
    <w:rsid w:val="00CA203E"/>
    <w:rsid w:val="00CA4C56"/>
    <w:rsid w:val="00CE2589"/>
    <w:rsid w:val="00CE6C60"/>
    <w:rsid w:val="00CF33FB"/>
    <w:rsid w:val="00D332D1"/>
    <w:rsid w:val="00D45011"/>
    <w:rsid w:val="00D509BC"/>
    <w:rsid w:val="00D775DB"/>
    <w:rsid w:val="00D80A9F"/>
    <w:rsid w:val="00D84818"/>
    <w:rsid w:val="00D87D27"/>
    <w:rsid w:val="00D90A09"/>
    <w:rsid w:val="00DE06A7"/>
    <w:rsid w:val="00E23B22"/>
    <w:rsid w:val="00E25300"/>
    <w:rsid w:val="00E5002D"/>
    <w:rsid w:val="00E90154"/>
    <w:rsid w:val="00E91317"/>
    <w:rsid w:val="00EB7B4E"/>
    <w:rsid w:val="00EF003F"/>
    <w:rsid w:val="00F2188E"/>
    <w:rsid w:val="00F3530C"/>
    <w:rsid w:val="00F81393"/>
    <w:rsid w:val="00FB06DD"/>
    <w:rsid w:val="00FC5264"/>
    <w:rsid w:val="00FD6EB7"/>
    <w:rsid w:val="00FE0CF6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B25F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2011-04-27T15:25:00Z</dcterms:created>
  <dcterms:modified xsi:type="dcterms:W3CDTF">2012-06-19T06:30:00Z</dcterms:modified>
</cp:coreProperties>
</file>